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18C" w:rsidRPr="0059218C" w:rsidRDefault="0059218C" w:rsidP="0059218C">
      <w:pPr>
        <w:jc w:val="right"/>
        <w:rPr>
          <w:i/>
          <w:iCs/>
        </w:rPr>
      </w:pPr>
    </w:p>
    <w:p w:rsidR="00BF7534" w:rsidRDefault="00BF7534" w:rsidP="00036824">
      <w:pPr>
        <w:jc w:val="both"/>
      </w:pPr>
    </w:p>
    <w:p w:rsidR="00BF7534" w:rsidRPr="00BF7534" w:rsidRDefault="00BF7534" w:rsidP="00BF7534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  <w:sz w:val="22"/>
          <w:szCs w:val="22"/>
        </w:rPr>
      </w:pPr>
      <w:r w:rsidRPr="00BF7534">
        <w:rPr>
          <w:rFonts w:eastAsia="Calibri" w:cstheme="minorHAnsi"/>
          <w:b/>
          <w:sz w:val="22"/>
          <w:szCs w:val="22"/>
        </w:rPr>
        <w:t xml:space="preserve">                                         </w:t>
      </w:r>
      <w:r w:rsidRPr="00BF7534">
        <w:rPr>
          <w:rFonts w:eastAsia="Calibri" w:cstheme="minorHAnsi"/>
          <w:b/>
          <w:noProof/>
          <w:sz w:val="22"/>
          <w:szCs w:val="22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534" w:rsidRPr="00BF7534" w:rsidRDefault="00BF7534" w:rsidP="00BF7534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  <w:sz w:val="22"/>
          <w:szCs w:val="22"/>
        </w:rPr>
      </w:pPr>
      <w:r w:rsidRPr="00BF7534">
        <w:rPr>
          <w:rFonts w:eastAsia="Calibri" w:cstheme="minorHAnsi"/>
          <w:b/>
          <w:sz w:val="22"/>
          <w:szCs w:val="22"/>
        </w:rPr>
        <w:tab/>
        <w:t xml:space="preserve">                        REPUBLIKA HRVATSKA</w:t>
      </w:r>
    </w:p>
    <w:p w:rsidR="00BF7534" w:rsidRPr="00BF7534" w:rsidRDefault="00BF7534" w:rsidP="00BF7534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  <w:sz w:val="22"/>
          <w:szCs w:val="22"/>
        </w:rPr>
      </w:pPr>
      <w:r w:rsidRPr="00BF7534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7534">
        <w:rPr>
          <w:rFonts w:eastAsia="Calibri" w:cstheme="minorHAnsi"/>
          <w:b/>
          <w:sz w:val="22"/>
          <w:szCs w:val="22"/>
        </w:rPr>
        <w:tab/>
        <w:t xml:space="preserve">               ŠIBENSKO - KNINSKA  ŽUPANIJA</w:t>
      </w:r>
    </w:p>
    <w:p w:rsidR="00BF7534" w:rsidRPr="00BF7534" w:rsidRDefault="00BF7534" w:rsidP="00BF7534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  <w:sz w:val="22"/>
          <w:szCs w:val="22"/>
        </w:rPr>
      </w:pPr>
      <w:r w:rsidRPr="00BF7534">
        <w:rPr>
          <w:rFonts w:eastAsia="Calibri" w:cstheme="minorHAnsi"/>
          <w:b/>
          <w:sz w:val="22"/>
          <w:szCs w:val="22"/>
        </w:rPr>
        <w:tab/>
        <w:t xml:space="preserve">                   OPĆINA MURTER-KORNATI</w:t>
      </w:r>
    </w:p>
    <w:p w:rsidR="00BF7534" w:rsidRPr="00BF7534" w:rsidRDefault="00BF7534" w:rsidP="00BF7534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  <w:sz w:val="22"/>
          <w:szCs w:val="22"/>
        </w:rPr>
      </w:pPr>
      <w:r w:rsidRPr="00BF7534">
        <w:rPr>
          <w:rFonts w:eastAsia="Calibri" w:cstheme="minorHAnsi"/>
          <w:b/>
          <w:sz w:val="22"/>
          <w:szCs w:val="22"/>
        </w:rPr>
        <w:tab/>
        <w:t xml:space="preserve">                       OPĆINSKI NAČELNIK</w:t>
      </w:r>
    </w:p>
    <w:p w:rsidR="00BF7534" w:rsidRPr="00BF7534" w:rsidRDefault="00BF7534" w:rsidP="00BF7534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  <w:sz w:val="22"/>
          <w:szCs w:val="22"/>
        </w:rPr>
      </w:pPr>
      <w:r w:rsidRPr="00BF7534">
        <w:rPr>
          <w:rFonts w:eastAsia="Calibri" w:cstheme="minorHAnsi"/>
          <w:b/>
          <w:sz w:val="22"/>
          <w:szCs w:val="22"/>
        </w:rPr>
        <w:tab/>
        <w:t xml:space="preserve">               </w:t>
      </w:r>
    </w:p>
    <w:p w:rsidR="00BF7534" w:rsidRPr="00BF7534" w:rsidRDefault="00BF7534" w:rsidP="00BF7534">
      <w:pPr>
        <w:tabs>
          <w:tab w:val="center" w:pos="1701"/>
        </w:tabs>
        <w:suppressAutoHyphens/>
        <w:autoSpaceDN w:val="0"/>
        <w:jc w:val="both"/>
        <w:rPr>
          <w:rFonts w:eastAsia="Calibri" w:cstheme="minorHAnsi"/>
          <w:b/>
          <w:sz w:val="22"/>
          <w:szCs w:val="22"/>
        </w:rPr>
      </w:pPr>
    </w:p>
    <w:p w:rsidR="00BF7534" w:rsidRPr="005A48DA" w:rsidRDefault="005A48DA" w:rsidP="00BF7534">
      <w:pPr>
        <w:suppressAutoHyphens/>
        <w:autoSpaceDN w:val="0"/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KLASA: 024-06/25</w:t>
      </w:r>
      <w:r w:rsidR="00BF7534" w:rsidRPr="00BF7534">
        <w:rPr>
          <w:sz w:val="22"/>
          <w:szCs w:val="22"/>
        </w:rPr>
        <w:t>-</w:t>
      </w:r>
      <w:r w:rsidR="00BF7534" w:rsidRPr="005A48DA">
        <w:rPr>
          <w:sz w:val="22"/>
          <w:szCs w:val="22"/>
        </w:rPr>
        <w:t>01</w:t>
      </w:r>
      <w:r w:rsidRPr="005A48DA">
        <w:rPr>
          <w:sz w:val="22"/>
          <w:szCs w:val="22"/>
        </w:rPr>
        <w:t>/06</w:t>
      </w:r>
    </w:p>
    <w:p w:rsidR="00BF7534" w:rsidRPr="005A48DA" w:rsidRDefault="00BF7534" w:rsidP="00BF7534">
      <w:pPr>
        <w:suppressAutoHyphens/>
        <w:autoSpaceDN w:val="0"/>
        <w:spacing w:line="252" w:lineRule="auto"/>
        <w:jc w:val="both"/>
        <w:rPr>
          <w:sz w:val="22"/>
          <w:szCs w:val="22"/>
        </w:rPr>
      </w:pPr>
      <w:r w:rsidRPr="005A48DA">
        <w:rPr>
          <w:sz w:val="22"/>
          <w:szCs w:val="22"/>
        </w:rPr>
        <w:t>URBROJ: 2182-18-03/1-25-</w:t>
      </w:r>
      <w:r w:rsidR="005A48DA" w:rsidRPr="005A48DA">
        <w:rPr>
          <w:sz w:val="22"/>
          <w:szCs w:val="22"/>
        </w:rPr>
        <w:t>9</w:t>
      </w:r>
    </w:p>
    <w:p w:rsidR="00BF7534" w:rsidRPr="00BF7534" w:rsidRDefault="00BF7534" w:rsidP="00BF7534">
      <w:pPr>
        <w:suppressAutoHyphens/>
        <w:autoSpaceDN w:val="0"/>
        <w:spacing w:line="252" w:lineRule="auto"/>
        <w:jc w:val="both"/>
        <w:rPr>
          <w:sz w:val="22"/>
          <w:szCs w:val="22"/>
        </w:rPr>
      </w:pPr>
      <w:r w:rsidRPr="005A48DA">
        <w:rPr>
          <w:sz w:val="22"/>
          <w:szCs w:val="22"/>
        </w:rPr>
        <w:t xml:space="preserve">Murter,  </w:t>
      </w:r>
      <w:r w:rsidR="005A48DA" w:rsidRPr="005A48DA">
        <w:rPr>
          <w:sz w:val="22"/>
          <w:szCs w:val="22"/>
        </w:rPr>
        <w:t>24.</w:t>
      </w:r>
      <w:r w:rsidRPr="005A48DA">
        <w:rPr>
          <w:sz w:val="22"/>
          <w:szCs w:val="22"/>
        </w:rPr>
        <w:t xml:space="preserve"> listopada 2025.</w:t>
      </w:r>
    </w:p>
    <w:p w:rsidR="00BF7534" w:rsidRPr="00BF7534" w:rsidRDefault="00BF7534" w:rsidP="00BF7534">
      <w:pPr>
        <w:suppressAutoHyphens/>
        <w:autoSpaceDN w:val="0"/>
        <w:spacing w:line="252" w:lineRule="auto"/>
        <w:jc w:val="both"/>
        <w:rPr>
          <w:sz w:val="22"/>
          <w:szCs w:val="22"/>
        </w:rPr>
      </w:pPr>
    </w:p>
    <w:p w:rsidR="00BF7534" w:rsidRPr="00BF7534" w:rsidRDefault="00BF7534" w:rsidP="00BF7534">
      <w:pPr>
        <w:suppressAutoHyphens/>
        <w:autoSpaceDN w:val="0"/>
        <w:spacing w:line="252" w:lineRule="auto"/>
        <w:jc w:val="both"/>
        <w:rPr>
          <w:sz w:val="22"/>
          <w:szCs w:val="22"/>
        </w:rPr>
      </w:pP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</w:p>
    <w:p w:rsidR="00BF7534" w:rsidRPr="00BF7534" w:rsidRDefault="00BF7534" w:rsidP="00BF7534">
      <w:pPr>
        <w:suppressAutoHyphens/>
        <w:autoSpaceDN w:val="0"/>
        <w:spacing w:line="252" w:lineRule="auto"/>
        <w:jc w:val="both"/>
        <w:rPr>
          <w:sz w:val="22"/>
          <w:szCs w:val="22"/>
        </w:rPr>
      </w:pPr>
    </w:p>
    <w:p w:rsidR="00BF7534" w:rsidRPr="00BF7534" w:rsidRDefault="00BF7534" w:rsidP="00BF7534">
      <w:pPr>
        <w:autoSpaceDN w:val="0"/>
        <w:spacing w:line="252" w:lineRule="auto"/>
        <w:ind w:firstLine="708"/>
        <w:jc w:val="both"/>
        <w:rPr>
          <w:sz w:val="22"/>
          <w:szCs w:val="22"/>
        </w:rPr>
      </w:pPr>
      <w:r w:rsidRPr="00BF7534">
        <w:rPr>
          <w:sz w:val="22"/>
          <w:szCs w:val="22"/>
        </w:rPr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 donosi</w:t>
      </w:r>
    </w:p>
    <w:p w:rsidR="00BF7534" w:rsidRPr="00BF7534" w:rsidRDefault="00BF7534" w:rsidP="00BF7534">
      <w:pPr>
        <w:autoSpaceDN w:val="0"/>
        <w:spacing w:line="252" w:lineRule="auto"/>
        <w:jc w:val="both"/>
        <w:rPr>
          <w:sz w:val="22"/>
          <w:szCs w:val="22"/>
        </w:rPr>
      </w:pPr>
    </w:p>
    <w:p w:rsidR="00BF7534" w:rsidRDefault="00BF7534" w:rsidP="00BF7534">
      <w:pPr>
        <w:autoSpaceDN w:val="0"/>
        <w:spacing w:line="252" w:lineRule="auto"/>
        <w:jc w:val="center"/>
        <w:rPr>
          <w:b/>
          <w:sz w:val="22"/>
          <w:szCs w:val="22"/>
        </w:rPr>
      </w:pPr>
      <w:r w:rsidRPr="00BF7534">
        <w:rPr>
          <w:b/>
          <w:sz w:val="22"/>
          <w:szCs w:val="22"/>
        </w:rPr>
        <w:t>ZAKLJUČAK</w:t>
      </w:r>
    </w:p>
    <w:p w:rsidR="00BF7534" w:rsidRPr="00BF7534" w:rsidRDefault="00BF7534" w:rsidP="00BF7534">
      <w:pPr>
        <w:autoSpaceDN w:val="0"/>
        <w:spacing w:line="252" w:lineRule="auto"/>
        <w:jc w:val="center"/>
        <w:rPr>
          <w:b/>
          <w:sz w:val="22"/>
          <w:szCs w:val="22"/>
        </w:rPr>
      </w:pPr>
    </w:p>
    <w:p w:rsidR="00BF7534" w:rsidRPr="00BF7534" w:rsidRDefault="00BF7534" w:rsidP="00BF7534">
      <w:pPr>
        <w:spacing w:line="256" w:lineRule="auto"/>
        <w:ind w:firstLine="708"/>
        <w:jc w:val="both"/>
        <w:rPr>
          <w:color w:val="000000"/>
          <w:sz w:val="22"/>
          <w:szCs w:val="22"/>
          <w:lang w:val="en-GB" w:eastAsia="en-GB"/>
        </w:rPr>
      </w:pPr>
      <w:r w:rsidRPr="00BF7534">
        <w:rPr>
          <w:sz w:val="22"/>
          <w:szCs w:val="22"/>
        </w:rPr>
        <w:t>Utvrđuje se prijedlog Odluke o</w:t>
      </w:r>
      <w:r w:rsidRPr="00BF7534">
        <w:t xml:space="preserve"> </w:t>
      </w:r>
      <w:r w:rsidRPr="00BF7534">
        <w:rPr>
          <w:sz w:val="22"/>
          <w:szCs w:val="22"/>
        </w:rPr>
        <w:t>uvođenju Riznice Općine Murter-Kornati i Objedinjene glavne knjige proračuna</w:t>
      </w:r>
      <w:r>
        <w:rPr>
          <w:sz w:val="22"/>
          <w:szCs w:val="22"/>
        </w:rPr>
        <w:t xml:space="preserve"> </w:t>
      </w:r>
      <w:r w:rsidRPr="00BF7534">
        <w:rPr>
          <w:sz w:val="22"/>
          <w:szCs w:val="22"/>
        </w:rPr>
        <w:t>te se upućuje predsjedniku Općinskog vijeća Općine Murter-Kornati, radi razmatranja na Općinskom vijeću.</w:t>
      </w:r>
    </w:p>
    <w:p w:rsidR="00BF7534" w:rsidRPr="00BF7534" w:rsidRDefault="00BF7534" w:rsidP="00BF7534">
      <w:pPr>
        <w:autoSpaceDN w:val="0"/>
        <w:spacing w:line="252" w:lineRule="auto"/>
        <w:jc w:val="both"/>
        <w:rPr>
          <w:sz w:val="22"/>
          <w:szCs w:val="22"/>
        </w:rPr>
      </w:pPr>
    </w:p>
    <w:p w:rsidR="00BF7534" w:rsidRPr="00BF7534" w:rsidRDefault="00BF7534" w:rsidP="00BF7534">
      <w:pPr>
        <w:autoSpaceDN w:val="0"/>
        <w:spacing w:line="252" w:lineRule="auto"/>
        <w:jc w:val="both"/>
        <w:rPr>
          <w:sz w:val="22"/>
          <w:szCs w:val="22"/>
        </w:rPr>
      </w:pPr>
    </w:p>
    <w:p w:rsidR="00BF7534" w:rsidRPr="00BF7534" w:rsidRDefault="00BF7534" w:rsidP="00BF7534">
      <w:pPr>
        <w:autoSpaceDN w:val="0"/>
        <w:spacing w:line="252" w:lineRule="auto"/>
        <w:jc w:val="both"/>
        <w:rPr>
          <w:sz w:val="22"/>
          <w:szCs w:val="22"/>
        </w:rPr>
      </w:pPr>
    </w:p>
    <w:p w:rsidR="00BF7534" w:rsidRPr="00BF7534" w:rsidRDefault="00BF7534" w:rsidP="00BF7534">
      <w:pPr>
        <w:autoSpaceDN w:val="0"/>
        <w:spacing w:line="252" w:lineRule="auto"/>
        <w:jc w:val="both"/>
        <w:rPr>
          <w:sz w:val="22"/>
          <w:szCs w:val="22"/>
        </w:rPr>
      </w:pPr>
    </w:p>
    <w:p w:rsidR="00BF7534" w:rsidRPr="00BF7534" w:rsidRDefault="00BF7534" w:rsidP="00BF7534">
      <w:pPr>
        <w:autoSpaceDN w:val="0"/>
        <w:spacing w:line="252" w:lineRule="auto"/>
        <w:jc w:val="both"/>
        <w:rPr>
          <w:sz w:val="22"/>
          <w:szCs w:val="22"/>
        </w:rPr>
      </w:pPr>
    </w:p>
    <w:p w:rsidR="00BF7534" w:rsidRPr="00BF7534" w:rsidRDefault="00BF7534" w:rsidP="00BF7534">
      <w:pPr>
        <w:autoSpaceDN w:val="0"/>
        <w:spacing w:line="252" w:lineRule="auto"/>
        <w:jc w:val="both"/>
        <w:rPr>
          <w:sz w:val="22"/>
          <w:szCs w:val="22"/>
        </w:rPr>
      </w:pP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  <w:t xml:space="preserve">      </w:t>
      </w:r>
      <w:r w:rsidRPr="00BF7534">
        <w:rPr>
          <w:sz w:val="22"/>
          <w:szCs w:val="22"/>
        </w:rPr>
        <w:tab/>
        <w:t xml:space="preserve">          Načelnik</w:t>
      </w:r>
    </w:p>
    <w:p w:rsidR="00BF7534" w:rsidRPr="00BF7534" w:rsidRDefault="00BF7534" w:rsidP="00BF7534">
      <w:pPr>
        <w:autoSpaceDN w:val="0"/>
        <w:ind w:firstLine="708"/>
        <w:jc w:val="both"/>
        <w:rPr>
          <w:sz w:val="22"/>
          <w:szCs w:val="22"/>
        </w:rPr>
      </w:pP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</w:r>
      <w:r w:rsidRPr="00BF7534">
        <w:rPr>
          <w:sz w:val="22"/>
          <w:szCs w:val="22"/>
        </w:rPr>
        <w:tab/>
        <w:t>Šime Ježina, dipl.oec.</w:t>
      </w:r>
    </w:p>
    <w:p w:rsidR="00BF7534" w:rsidRPr="00FB798C" w:rsidRDefault="00BF7534" w:rsidP="00BF7534">
      <w:pPr>
        <w:autoSpaceDN w:val="0"/>
        <w:jc w:val="both"/>
      </w:pPr>
    </w:p>
    <w:p w:rsidR="00BF7534" w:rsidRPr="00FB798C" w:rsidRDefault="00BF7534" w:rsidP="00BF7534">
      <w:pPr>
        <w:autoSpaceDN w:val="0"/>
        <w:jc w:val="both"/>
      </w:pPr>
    </w:p>
    <w:p w:rsidR="00BF7534" w:rsidRPr="00FB798C" w:rsidRDefault="00BF7534" w:rsidP="00BF7534">
      <w:pPr>
        <w:autoSpaceDN w:val="0"/>
        <w:jc w:val="both"/>
      </w:pPr>
    </w:p>
    <w:p w:rsidR="00BF7534" w:rsidRPr="00FB798C" w:rsidRDefault="00BF7534" w:rsidP="00BF7534">
      <w:pPr>
        <w:autoSpaceDN w:val="0"/>
        <w:jc w:val="both"/>
      </w:pPr>
    </w:p>
    <w:p w:rsidR="00BF7534" w:rsidRPr="00FB798C" w:rsidRDefault="00BF7534" w:rsidP="00BF7534">
      <w:pPr>
        <w:autoSpaceDN w:val="0"/>
        <w:jc w:val="both"/>
      </w:pPr>
    </w:p>
    <w:p w:rsidR="00BF7534" w:rsidRPr="00FB798C" w:rsidRDefault="00BF7534" w:rsidP="00BF7534">
      <w:pPr>
        <w:autoSpaceDN w:val="0"/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BF7534" w:rsidRDefault="00BF7534" w:rsidP="00036824">
      <w:pPr>
        <w:jc w:val="both"/>
      </w:pPr>
    </w:p>
    <w:p w:rsidR="00036824" w:rsidRPr="005D32CC" w:rsidRDefault="0029072F" w:rsidP="00036824">
      <w:pPr>
        <w:jc w:val="both"/>
      </w:pPr>
      <w:r w:rsidRPr="0029072F">
        <w:lastRenderedPageBreak/>
        <w:t>Na temelju članka 50.</w:t>
      </w:r>
      <w:r w:rsidR="0024047A">
        <w:t xml:space="preserve"> st.2.</w:t>
      </w:r>
      <w:r w:rsidRPr="0029072F">
        <w:t xml:space="preserve"> Zakona o proračunu („Narodne novine“, broj 144/21)</w:t>
      </w:r>
      <w:r>
        <w:t xml:space="preserve"> </w:t>
      </w:r>
      <w:r w:rsidR="00D16D37">
        <w:t>i članka 29. Statuta Općine Murter-Kornati</w:t>
      </w:r>
      <w:r w:rsidR="00036824" w:rsidRPr="005D32CC">
        <w:t xml:space="preserve"> (Službeni glasnik </w:t>
      </w:r>
      <w:bookmarkStart w:id="0" w:name="_Hlk209604605"/>
      <w:r w:rsidR="00036824" w:rsidRPr="005D32CC">
        <w:t xml:space="preserve">Općine </w:t>
      </w:r>
      <w:r w:rsidR="00D16D37">
        <w:t>Murter-Kornati</w:t>
      </w:r>
      <w:r w:rsidR="00036824" w:rsidRPr="005D32CC">
        <w:t xml:space="preserve"> </w:t>
      </w:r>
      <w:bookmarkEnd w:id="0"/>
      <w:r w:rsidR="00036824" w:rsidRPr="005D32CC">
        <w:t>broj 2/21</w:t>
      </w:r>
      <w:r w:rsidR="00D16D37">
        <w:t xml:space="preserve">, 10/25), Općinsko vijeće Općine Murter-Kornati  na </w:t>
      </w:r>
      <w:r w:rsidR="00036824" w:rsidRPr="005D32CC">
        <w:t xml:space="preserve"> </w:t>
      </w:r>
      <w:r w:rsidR="00322523">
        <w:t>__</w:t>
      </w:r>
      <w:r w:rsidR="00036824">
        <w:t xml:space="preserve"> </w:t>
      </w:r>
      <w:r w:rsidR="00D16D37">
        <w:t xml:space="preserve">sjednici od </w:t>
      </w:r>
      <w:r w:rsidR="00036824" w:rsidRPr="005D32CC">
        <w:t xml:space="preserve"> </w:t>
      </w:r>
      <w:r w:rsidR="00322523">
        <w:t>________</w:t>
      </w:r>
      <w:r w:rsidR="00D16D37">
        <w:t xml:space="preserve"> donosi</w:t>
      </w:r>
    </w:p>
    <w:p w:rsidR="000126AF" w:rsidRDefault="000126AF"/>
    <w:p w:rsidR="000126AF" w:rsidRDefault="000126AF"/>
    <w:p w:rsidR="00A047B6" w:rsidRDefault="000126AF" w:rsidP="000126AF">
      <w:pPr>
        <w:jc w:val="center"/>
        <w:rPr>
          <w:b/>
          <w:bCs/>
        </w:rPr>
      </w:pPr>
      <w:r w:rsidRPr="009450D6">
        <w:rPr>
          <w:b/>
          <w:bCs/>
        </w:rPr>
        <w:t xml:space="preserve">ODLUKU </w:t>
      </w:r>
    </w:p>
    <w:p w:rsidR="000126AF" w:rsidRDefault="0007422F" w:rsidP="0007422F">
      <w:pPr>
        <w:rPr>
          <w:b/>
          <w:bCs/>
        </w:rPr>
      </w:pPr>
      <w:r>
        <w:rPr>
          <w:b/>
          <w:bCs/>
        </w:rPr>
        <w:t>o uvođenju Riznice Općine Murter-Kornati i Objedinjene glavne knjige proračuna</w:t>
      </w:r>
    </w:p>
    <w:p w:rsidR="00266B22" w:rsidRDefault="00266B22" w:rsidP="000126AF">
      <w:pPr>
        <w:jc w:val="center"/>
        <w:rPr>
          <w:b/>
          <w:bCs/>
        </w:rPr>
      </w:pPr>
    </w:p>
    <w:p w:rsidR="00F75BB8" w:rsidRPr="00266B22" w:rsidRDefault="00F75BB8" w:rsidP="000126AF">
      <w:pPr>
        <w:jc w:val="center"/>
        <w:rPr>
          <w:b/>
          <w:bCs/>
        </w:rPr>
      </w:pPr>
    </w:p>
    <w:p w:rsidR="00E24BE7" w:rsidRPr="009450D6" w:rsidRDefault="00E24BE7" w:rsidP="008F2939">
      <w:pPr>
        <w:rPr>
          <w:b/>
          <w:bCs/>
        </w:rPr>
      </w:pPr>
    </w:p>
    <w:p w:rsidR="00225E29" w:rsidRDefault="00225E29" w:rsidP="00225E29">
      <w:pPr>
        <w:jc w:val="center"/>
        <w:rPr>
          <w:b/>
        </w:rPr>
      </w:pPr>
      <w:r>
        <w:rPr>
          <w:b/>
        </w:rPr>
        <w:t xml:space="preserve">Članak 1. </w:t>
      </w:r>
    </w:p>
    <w:p w:rsidR="00225E29" w:rsidRDefault="00225E29" w:rsidP="00225E29">
      <w:pPr>
        <w:jc w:val="center"/>
        <w:rPr>
          <w:b/>
        </w:rPr>
      </w:pPr>
    </w:p>
    <w:p w:rsidR="00225E29" w:rsidRDefault="00225E29" w:rsidP="00225E29">
      <w:pPr>
        <w:jc w:val="both"/>
      </w:pPr>
      <w:r>
        <w:t xml:space="preserve">Ovom Odlukom uvodi se sustav rizničnog poslovanja na razini proračuna i proračunskih korisnika </w:t>
      </w:r>
      <w:r w:rsidR="00D16D37">
        <w:t>Općine Murter-Kornati</w:t>
      </w:r>
      <w:r w:rsidR="00C6007D" w:rsidRPr="005D32CC">
        <w:t xml:space="preserve"> </w:t>
      </w:r>
      <w:r>
        <w:t>(u daljnjem</w:t>
      </w:r>
      <w:r w:rsidR="0007422F">
        <w:t xml:space="preserve"> tekstu: proračunski korisnici) i Objedinjene glavne knjige proračuna,</w:t>
      </w:r>
      <w:r>
        <w:t xml:space="preserve"> koji se temelji na jedinstvenom računovodstveno-informatičkom sustavu, s ciljem stvaranja pretpostavki za učinkovito upravljanje ukupnim proračunskim sredstvima i obavljanja poslovanja preko jedinstvenog računa Riznice </w:t>
      </w:r>
      <w:r w:rsidR="00D16D37">
        <w:t>Općine Murter-Kornati</w:t>
      </w:r>
      <w:r w:rsidR="00C6007D" w:rsidRPr="005D32CC">
        <w:t xml:space="preserve"> </w:t>
      </w:r>
      <w:r>
        <w:t>(u daljnjem tekstu: Riznica).</w:t>
      </w:r>
    </w:p>
    <w:p w:rsidR="00225E29" w:rsidRDefault="00225E29" w:rsidP="00225E29">
      <w:pPr>
        <w:jc w:val="both"/>
      </w:pPr>
    </w:p>
    <w:p w:rsidR="00225E29" w:rsidRDefault="00225E29" w:rsidP="00225E29">
      <w:pPr>
        <w:jc w:val="center"/>
        <w:rPr>
          <w:b/>
        </w:rPr>
      </w:pPr>
      <w:r w:rsidRPr="006473F5">
        <w:rPr>
          <w:b/>
        </w:rPr>
        <w:t>Članak 2.</w:t>
      </w:r>
    </w:p>
    <w:p w:rsidR="00225E29" w:rsidRDefault="00225E29" w:rsidP="00225E29">
      <w:pPr>
        <w:jc w:val="center"/>
        <w:rPr>
          <w:b/>
        </w:rPr>
      </w:pPr>
    </w:p>
    <w:p w:rsidR="00225E29" w:rsidRDefault="00225E29" w:rsidP="00225E29">
      <w:pPr>
        <w:jc w:val="both"/>
      </w:pPr>
      <w:r w:rsidRPr="00086253">
        <w:t xml:space="preserve">Riznica je cjelovit sustav </w:t>
      </w:r>
      <w:r>
        <w:t xml:space="preserve">u kojem se u skladu s Zakonom o proračunu, ovom Odlukom i drugim propisima, obavljaju poslovi koji se odnose na pripremu, izvršenje i konsolidaciju Proračuna </w:t>
      </w:r>
      <w:bookmarkStart w:id="1" w:name="_Hlk209609141"/>
      <w:r w:rsidR="00D16D37">
        <w:t>Općine Murter-Kornati</w:t>
      </w:r>
      <w:r w:rsidR="00C6007D" w:rsidRPr="005D32CC">
        <w:t xml:space="preserve"> </w:t>
      </w:r>
      <w:bookmarkEnd w:id="1"/>
      <w:r>
        <w:t>i financijskih planova proračunskih korisnika, proračunsko računovodstvo i računovodstvo proračunskih korisnika te upravljanje platnim prometom Proračuna.</w:t>
      </w:r>
    </w:p>
    <w:p w:rsidR="00225E29" w:rsidRDefault="00225E29" w:rsidP="00225E29">
      <w:pPr>
        <w:jc w:val="both"/>
      </w:pPr>
      <w:r>
        <w:t>Jedinstvenom aplikacijom i bazom podataka osigurava se objedinjavanje svih poslova i transakcija u informacijskom i upravljačkom smislu.</w:t>
      </w:r>
    </w:p>
    <w:p w:rsidR="00577E8B" w:rsidRDefault="00577E8B" w:rsidP="00225E29">
      <w:pPr>
        <w:jc w:val="both"/>
      </w:pPr>
      <w:r>
        <w:t>Glavna knjiga proračuna u sastavu objedinjene glavne knjige proračuna sadrži evidencije transakcija na imovini, obvezama, vlastitim izvorima, prihodima, rashodima, primicima i izdacima proračuna evidentiranih po modificiranom načelu nastanka događaja.</w:t>
      </w:r>
    </w:p>
    <w:p w:rsidR="00577E8B" w:rsidRDefault="00577E8B" w:rsidP="00225E29">
      <w:pPr>
        <w:jc w:val="both"/>
      </w:pPr>
      <w:r>
        <w:t xml:space="preserve">Glavna knjiga proračunskih korisnika u sastavu Objedinjene glavne knjige proračuna sadrži minimalno evidencije transakcije u vezi rashoda i obveza, izdataka i primitaka, potraživanja iz nadležnog proračuna za uplaćena sredstva na jedinstveni račun proračuna te prihode proračunskih korisnika za financiranje redovne djelatnosti evidentiranih po modificiranom načelu nastanka događaja. </w:t>
      </w:r>
    </w:p>
    <w:p w:rsidR="001B069E" w:rsidRDefault="001B069E" w:rsidP="000762A6">
      <w:pPr>
        <w:jc w:val="both"/>
      </w:pPr>
    </w:p>
    <w:p w:rsidR="000762A6" w:rsidRDefault="000762A6" w:rsidP="001B069E">
      <w:pPr>
        <w:jc w:val="center"/>
        <w:rPr>
          <w:b/>
          <w:bCs/>
        </w:rPr>
      </w:pPr>
      <w:r w:rsidRPr="001B069E">
        <w:rPr>
          <w:b/>
          <w:bCs/>
        </w:rPr>
        <w:t>Članak 3.</w:t>
      </w:r>
    </w:p>
    <w:p w:rsidR="001B069E" w:rsidRPr="001B069E" w:rsidRDefault="001B069E" w:rsidP="001B069E">
      <w:pPr>
        <w:jc w:val="center"/>
        <w:rPr>
          <w:b/>
          <w:bCs/>
        </w:rPr>
      </w:pPr>
    </w:p>
    <w:p w:rsidR="0007422F" w:rsidRDefault="000762A6" w:rsidP="0025768C">
      <w:pPr>
        <w:jc w:val="both"/>
      </w:pPr>
      <w:r>
        <w:t>Poslovanje u Riznici obavljat će se na način da se svi prihodi proračuna i proračunskih korisnika</w:t>
      </w:r>
      <w:r w:rsidR="00E71FE0">
        <w:t xml:space="preserve"> </w:t>
      </w:r>
      <w:r>
        <w:t>uplaćuju na jedinstveni račun Riznice i sva plaćanja izvršavaju s tog računa, a računi</w:t>
      </w:r>
      <w:r w:rsidR="00EE4DE6">
        <w:t xml:space="preserve"> </w:t>
      </w:r>
      <w:r>
        <w:t xml:space="preserve">proračunskih korisnika se zatvaraju. </w:t>
      </w:r>
    </w:p>
    <w:p w:rsidR="000762A6" w:rsidRDefault="000762A6" w:rsidP="0025768C">
      <w:pPr>
        <w:jc w:val="both"/>
      </w:pPr>
      <w:r>
        <w:t xml:space="preserve">U proračunu </w:t>
      </w:r>
      <w:r w:rsidR="00D16D37">
        <w:t>Općine Murter-Kornati</w:t>
      </w:r>
      <w:r w:rsidR="00EE4DE6" w:rsidRPr="005D32CC">
        <w:t xml:space="preserve"> </w:t>
      </w:r>
      <w:r>
        <w:t>iskazivat će se i evidentirati</w:t>
      </w:r>
      <w:r w:rsidR="00501DAA">
        <w:t xml:space="preserve"> </w:t>
      </w:r>
      <w:r>
        <w:t>vlastiti i namjenski prihodi proračunskih korisnika i rashodi proračunskih korisnika koji se</w:t>
      </w:r>
      <w:r w:rsidR="00501DAA">
        <w:t xml:space="preserve"> </w:t>
      </w:r>
      <w:r>
        <w:t>financiraju iz tih prihoda.</w:t>
      </w:r>
    </w:p>
    <w:p w:rsidR="0007422F" w:rsidRDefault="0007422F" w:rsidP="0025768C">
      <w:pPr>
        <w:jc w:val="both"/>
      </w:pPr>
    </w:p>
    <w:p w:rsidR="00E71FE0" w:rsidRPr="00501DAA" w:rsidRDefault="00E71FE0" w:rsidP="0025768C">
      <w:pPr>
        <w:jc w:val="both"/>
      </w:pPr>
    </w:p>
    <w:p w:rsidR="000762A6" w:rsidRDefault="000762A6" w:rsidP="001B069E">
      <w:pPr>
        <w:jc w:val="center"/>
        <w:rPr>
          <w:b/>
          <w:bCs/>
        </w:rPr>
      </w:pPr>
      <w:r w:rsidRPr="001B069E">
        <w:rPr>
          <w:b/>
          <w:bCs/>
        </w:rPr>
        <w:t>Članak 4.</w:t>
      </w:r>
    </w:p>
    <w:p w:rsidR="00B009A0" w:rsidRPr="001B069E" w:rsidRDefault="00B009A0" w:rsidP="001B069E">
      <w:pPr>
        <w:jc w:val="center"/>
        <w:rPr>
          <w:b/>
          <w:bCs/>
        </w:rPr>
      </w:pPr>
    </w:p>
    <w:p w:rsidR="000762A6" w:rsidRDefault="000762A6" w:rsidP="00EE4DE6">
      <w:pPr>
        <w:jc w:val="both"/>
      </w:pPr>
      <w:r>
        <w:t xml:space="preserve">Računovodstveno-informatički sustav Riznice je sustav za ukupan proces upravljanja proračunom: priprema proračuna, izvršenje i konsolidacija proračuna, vođenje glavne knjige i </w:t>
      </w:r>
    </w:p>
    <w:p w:rsidR="000762A6" w:rsidRDefault="000762A6" w:rsidP="00EE4DE6">
      <w:pPr>
        <w:jc w:val="both"/>
      </w:pPr>
      <w:r>
        <w:lastRenderedPageBreak/>
        <w:t xml:space="preserve">svih zakonom propisanih pomoćnih knjiga </w:t>
      </w:r>
      <w:r w:rsidR="00D16D37">
        <w:t>Općine Murter-Kornati</w:t>
      </w:r>
      <w:r w:rsidR="00B009A0" w:rsidRPr="005D32CC">
        <w:t xml:space="preserve"> </w:t>
      </w:r>
      <w:r>
        <w:t>i nje</w:t>
      </w:r>
      <w:r w:rsidR="00B009A0">
        <w:t>nih</w:t>
      </w:r>
      <w:r>
        <w:t xml:space="preserve"> proračunskih korisnika uz </w:t>
      </w:r>
      <w:r w:rsidR="007061FD">
        <w:t>z</w:t>
      </w:r>
      <w:r>
        <w:t xml:space="preserve">adržavanje pravne osobnosti. </w:t>
      </w:r>
    </w:p>
    <w:p w:rsidR="00E71FE0" w:rsidRDefault="00E71FE0" w:rsidP="00EE4DE6">
      <w:pPr>
        <w:jc w:val="both"/>
      </w:pPr>
    </w:p>
    <w:p w:rsidR="000762A6" w:rsidRPr="001B069E" w:rsidRDefault="000762A6" w:rsidP="001B069E">
      <w:pPr>
        <w:jc w:val="center"/>
        <w:rPr>
          <w:b/>
          <w:bCs/>
        </w:rPr>
      </w:pPr>
      <w:r w:rsidRPr="001B069E">
        <w:rPr>
          <w:b/>
          <w:bCs/>
        </w:rPr>
        <w:t>Članak 5.</w:t>
      </w:r>
    </w:p>
    <w:p w:rsidR="00316C12" w:rsidRDefault="00316C12" w:rsidP="000762A6">
      <w:pPr>
        <w:jc w:val="both"/>
      </w:pPr>
    </w:p>
    <w:p w:rsidR="000762A6" w:rsidRDefault="000762A6" w:rsidP="000762A6">
      <w:pPr>
        <w:jc w:val="both"/>
      </w:pPr>
      <w:r>
        <w:t xml:space="preserve">Proračunski korisnici </w:t>
      </w:r>
      <w:r w:rsidR="00D16D37">
        <w:t>Općine Murter-Kornati</w:t>
      </w:r>
      <w:r w:rsidR="007061FD" w:rsidRPr="005D32CC">
        <w:t xml:space="preserve"> </w:t>
      </w:r>
      <w:r>
        <w:t xml:space="preserve">su: </w:t>
      </w:r>
    </w:p>
    <w:p w:rsidR="000762A6" w:rsidRDefault="00E05D0D" w:rsidP="00E9655A">
      <w:pPr>
        <w:pStyle w:val="Odlomakpopisa"/>
        <w:numPr>
          <w:ilvl w:val="0"/>
          <w:numId w:val="3"/>
        </w:numPr>
        <w:jc w:val="both"/>
      </w:pPr>
      <w:r>
        <w:t xml:space="preserve">Narodna knjižnica </w:t>
      </w:r>
      <w:r w:rsidR="00D16D37">
        <w:t xml:space="preserve"> i čitaonica Murter</w:t>
      </w:r>
    </w:p>
    <w:p w:rsidR="0092563D" w:rsidRDefault="0092563D" w:rsidP="00E71FE0">
      <w:pPr>
        <w:ind w:left="360"/>
        <w:jc w:val="both"/>
      </w:pPr>
    </w:p>
    <w:p w:rsidR="00E9655A" w:rsidRDefault="00E9655A" w:rsidP="00E9655A"/>
    <w:p w:rsidR="000762A6" w:rsidRPr="00E9655A" w:rsidRDefault="000762A6" w:rsidP="00E9655A">
      <w:pPr>
        <w:jc w:val="center"/>
        <w:rPr>
          <w:b/>
          <w:bCs/>
        </w:rPr>
      </w:pPr>
      <w:r w:rsidRPr="00E9655A">
        <w:rPr>
          <w:b/>
          <w:bCs/>
        </w:rPr>
        <w:t>Članak 6.</w:t>
      </w:r>
    </w:p>
    <w:p w:rsidR="00E9655A" w:rsidRDefault="00E9655A" w:rsidP="00E9655A">
      <w:pPr>
        <w:jc w:val="center"/>
      </w:pPr>
    </w:p>
    <w:p w:rsidR="000762A6" w:rsidRDefault="000762A6" w:rsidP="00FF1AA9">
      <w:pPr>
        <w:jc w:val="both"/>
      </w:pPr>
      <w:r>
        <w:t xml:space="preserve">Proračunski korisnici obvezni su i nadalje voditi svoje poslovne knjige propisane zakonima koji uređuju područje proračunskog računovodstva i iz istih predavati zakonom propisana financijska izvješća. </w:t>
      </w:r>
    </w:p>
    <w:p w:rsidR="00E71FE0" w:rsidRDefault="00E71FE0" w:rsidP="00FF1AA9">
      <w:pPr>
        <w:jc w:val="both"/>
      </w:pPr>
    </w:p>
    <w:p w:rsidR="000762A6" w:rsidRPr="00E9655A" w:rsidRDefault="000762A6" w:rsidP="00306BAF">
      <w:pPr>
        <w:jc w:val="center"/>
        <w:rPr>
          <w:b/>
          <w:bCs/>
        </w:rPr>
      </w:pPr>
      <w:r w:rsidRPr="00E9655A">
        <w:rPr>
          <w:b/>
          <w:bCs/>
        </w:rPr>
        <w:t>Članak 7.</w:t>
      </w:r>
    </w:p>
    <w:p w:rsidR="00E9655A" w:rsidRDefault="00E9655A" w:rsidP="00306BAF">
      <w:pPr>
        <w:jc w:val="center"/>
      </w:pPr>
    </w:p>
    <w:p w:rsidR="000762A6" w:rsidRDefault="000762A6" w:rsidP="000762A6">
      <w:pPr>
        <w:jc w:val="both"/>
      </w:pPr>
      <w:r>
        <w:t xml:space="preserve">Proračunski korisnici iz članka 5. ove </w:t>
      </w:r>
      <w:r w:rsidR="00192F2B">
        <w:t>O</w:t>
      </w:r>
      <w:r>
        <w:t>dluke obvezni su zatvoriti žiro račun na dan 3</w:t>
      </w:r>
      <w:r w:rsidR="004368B4">
        <w:t>1. prosinca</w:t>
      </w:r>
      <w:r>
        <w:t xml:space="preserve"> 2025. godine, a sredstva koja se nalaze na njihovim računima obvezni su uplatiti u Proračun </w:t>
      </w:r>
      <w:r w:rsidR="00D16D37">
        <w:t>Općine Murter-Kornati</w:t>
      </w:r>
      <w:r>
        <w:t>. Planirani rok uvođenja potpunog sustava Riznice je 1. s</w:t>
      </w:r>
      <w:r w:rsidR="00306BAF">
        <w:t>iječnja</w:t>
      </w:r>
      <w:r>
        <w:t xml:space="preserve"> 202</w:t>
      </w:r>
      <w:r w:rsidR="00306BAF">
        <w:t>6</w:t>
      </w:r>
      <w:r>
        <w:t xml:space="preserve">. godine. </w:t>
      </w:r>
    </w:p>
    <w:p w:rsidR="00E72D68" w:rsidRDefault="00E72D68" w:rsidP="00E72D68">
      <w:pPr>
        <w:jc w:val="center"/>
      </w:pPr>
    </w:p>
    <w:p w:rsidR="00E71FE0" w:rsidRDefault="00E71FE0" w:rsidP="00E72D68">
      <w:pPr>
        <w:jc w:val="center"/>
      </w:pPr>
    </w:p>
    <w:p w:rsidR="00E71FE0" w:rsidRPr="00E9655A" w:rsidRDefault="00E71FE0" w:rsidP="00E71FE0">
      <w:pPr>
        <w:jc w:val="center"/>
        <w:rPr>
          <w:b/>
          <w:bCs/>
        </w:rPr>
      </w:pPr>
      <w:r>
        <w:rPr>
          <w:b/>
          <w:bCs/>
        </w:rPr>
        <w:t>Članak 8.</w:t>
      </w:r>
    </w:p>
    <w:p w:rsidR="00E71FE0" w:rsidRPr="00636D82" w:rsidRDefault="00E71FE0" w:rsidP="006D6350">
      <w:pPr>
        <w:jc w:val="center"/>
        <w:rPr>
          <w:b/>
          <w:bCs/>
        </w:rPr>
      </w:pPr>
    </w:p>
    <w:p w:rsidR="005C0189" w:rsidRDefault="005C0189" w:rsidP="000762A6">
      <w:pPr>
        <w:jc w:val="both"/>
      </w:pPr>
      <w:r w:rsidRPr="005C0189">
        <w:t xml:space="preserve">Ova Odluka stupa na snagu osmog dana od dana objave u </w:t>
      </w:r>
      <w:r w:rsidR="00D16D37">
        <w:t>„Službenom glasniku Općine Murter-Kornati</w:t>
      </w:r>
      <w:r w:rsidRPr="005C0189">
        <w:t>“.</w:t>
      </w:r>
    </w:p>
    <w:p w:rsidR="005C0189" w:rsidRDefault="005C0189" w:rsidP="000762A6">
      <w:pPr>
        <w:jc w:val="both"/>
      </w:pPr>
    </w:p>
    <w:p w:rsidR="005C0189" w:rsidRDefault="005C0189" w:rsidP="000762A6">
      <w:pPr>
        <w:jc w:val="both"/>
      </w:pPr>
    </w:p>
    <w:p w:rsidR="000762A6" w:rsidRDefault="000762A6" w:rsidP="000762A6">
      <w:pPr>
        <w:jc w:val="both"/>
      </w:pPr>
      <w:r>
        <w:t xml:space="preserve">KLASA: </w:t>
      </w:r>
    </w:p>
    <w:p w:rsidR="000762A6" w:rsidRDefault="000762A6" w:rsidP="000762A6">
      <w:pPr>
        <w:jc w:val="both"/>
      </w:pPr>
      <w:r>
        <w:t xml:space="preserve">URBROJ:  </w:t>
      </w:r>
    </w:p>
    <w:p w:rsidR="000762A6" w:rsidRDefault="00D16D37" w:rsidP="000762A6">
      <w:pPr>
        <w:jc w:val="both"/>
      </w:pPr>
      <w:r>
        <w:t>Murter</w:t>
      </w:r>
      <w:r w:rsidR="00727A58">
        <w:t>,</w:t>
      </w:r>
      <w:r w:rsidR="000762A6">
        <w:t xml:space="preserve"> </w:t>
      </w:r>
    </w:p>
    <w:p w:rsidR="00225E29" w:rsidRDefault="00225E29" w:rsidP="000762A6">
      <w:pPr>
        <w:jc w:val="both"/>
      </w:pPr>
    </w:p>
    <w:p w:rsidR="00947266" w:rsidRDefault="00947266" w:rsidP="000126AF">
      <w:pPr>
        <w:jc w:val="center"/>
      </w:pPr>
    </w:p>
    <w:p w:rsidR="00D53977" w:rsidRDefault="00D53977" w:rsidP="000126AF">
      <w:pPr>
        <w:jc w:val="center"/>
      </w:pPr>
    </w:p>
    <w:p w:rsidR="00D53977" w:rsidRDefault="00FA6354" w:rsidP="000126AF">
      <w:pPr>
        <w:jc w:val="center"/>
      </w:pPr>
      <w:r>
        <w:t>OPĆINSKO VIJEĆE OPĆINE MURTER-KORNATI</w:t>
      </w:r>
    </w:p>
    <w:p w:rsidR="00FA6354" w:rsidRDefault="00FA6354" w:rsidP="000126AF">
      <w:pPr>
        <w:jc w:val="center"/>
      </w:pPr>
      <w:r>
        <w:t>Predsjednica</w:t>
      </w:r>
    </w:p>
    <w:p w:rsidR="00FA6354" w:rsidRDefault="00FA6354" w:rsidP="000126AF">
      <w:pPr>
        <w:jc w:val="center"/>
      </w:pPr>
      <w:r>
        <w:t>Tina Skračić</w:t>
      </w: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Default="00FA6354" w:rsidP="000126AF">
      <w:pPr>
        <w:jc w:val="center"/>
      </w:pPr>
    </w:p>
    <w:p w:rsidR="00FA6354" w:rsidRPr="00FA6354" w:rsidRDefault="00FA6354" w:rsidP="00FA6354">
      <w:pPr>
        <w:rPr>
          <w:sz w:val="22"/>
          <w:szCs w:val="22"/>
        </w:rPr>
      </w:pPr>
      <w:r w:rsidRPr="00FA6354">
        <w:rPr>
          <w:sz w:val="22"/>
          <w:szCs w:val="22"/>
        </w:rPr>
        <w:lastRenderedPageBreak/>
        <w:t>OBRAZLOŽENJE:</w:t>
      </w:r>
      <w:bookmarkStart w:id="2" w:name="_GoBack"/>
      <w:bookmarkEnd w:id="2"/>
    </w:p>
    <w:p w:rsidR="00FA6354" w:rsidRPr="00FA6354" w:rsidRDefault="00FA6354" w:rsidP="00FA6354">
      <w:pPr>
        <w:rPr>
          <w:sz w:val="22"/>
          <w:szCs w:val="22"/>
        </w:rPr>
      </w:pPr>
      <w:r w:rsidRPr="00FA6354">
        <w:rPr>
          <w:sz w:val="22"/>
          <w:szCs w:val="22"/>
        </w:rPr>
        <w:t>PREDLAGATELJ: općinski načelnik</w:t>
      </w:r>
    </w:p>
    <w:p w:rsidR="00FA6354" w:rsidRPr="00FA6354" w:rsidRDefault="00FA6354" w:rsidP="00FA6354">
      <w:pPr>
        <w:rPr>
          <w:sz w:val="22"/>
          <w:szCs w:val="22"/>
        </w:rPr>
      </w:pPr>
      <w:r w:rsidRPr="00FA6354">
        <w:rPr>
          <w:sz w:val="22"/>
          <w:szCs w:val="22"/>
        </w:rPr>
        <w:t>IZVJESTITELJ: pročelnica JUO</w:t>
      </w:r>
    </w:p>
    <w:p w:rsidR="00FA6354" w:rsidRPr="00FA6354" w:rsidRDefault="00FA6354" w:rsidP="00FA6354">
      <w:pPr>
        <w:rPr>
          <w:sz w:val="22"/>
          <w:szCs w:val="22"/>
        </w:rPr>
      </w:pPr>
      <w:r w:rsidRPr="00FA6354">
        <w:rPr>
          <w:sz w:val="22"/>
          <w:szCs w:val="22"/>
        </w:rPr>
        <w:t>PRAVNA OSNOVA: Zakon o proračunu 50. st.2. Zakona o proračunu („Narodne novine“, broj 144/21)</w:t>
      </w:r>
    </w:p>
    <w:p w:rsidR="00FA6354" w:rsidRPr="00FA6354" w:rsidRDefault="00FA6354" w:rsidP="00FA6354">
      <w:pPr>
        <w:rPr>
          <w:sz w:val="22"/>
          <w:szCs w:val="22"/>
        </w:rPr>
      </w:pPr>
    </w:p>
    <w:p w:rsidR="00FA6354" w:rsidRPr="00FA6354" w:rsidRDefault="00FA6354" w:rsidP="00FA6354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FA6354">
        <w:rPr>
          <w:color w:val="414145"/>
          <w:sz w:val="22"/>
          <w:szCs w:val="22"/>
        </w:rPr>
        <w:t>Računi za izvršavanje državnog proračuna i proračuna jedinica lokalne i područne (regionalne) samouprave</w:t>
      </w:r>
    </w:p>
    <w:p w:rsidR="00FA6354" w:rsidRPr="00FA6354" w:rsidRDefault="00FA6354" w:rsidP="00FA6354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FA6354">
        <w:rPr>
          <w:color w:val="414145"/>
          <w:sz w:val="22"/>
          <w:szCs w:val="22"/>
        </w:rPr>
        <w:t>Članak 50.</w:t>
      </w:r>
    </w:p>
    <w:p w:rsidR="00FA6354" w:rsidRPr="00FA6354" w:rsidRDefault="00FA6354" w:rsidP="00FA6354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A6354">
        <w:rPr>
          <w:color w:val="414145"/>
          <w:sz w:val="22"/>
          <w:szCs w:val="22"/>
        </w:rPr>
        <w:t>(1) Državni proračun ima jedinstveni račun državnog proračuna koji se otvara i vodi u Hrvatskoj narodnoj banci, a na kojem se ostvaruju svi priljevi i izvršavaju svi odljevi proračuna i proračunskih korisnika državnog proračuna.</w:t>
      </w:r>
    </w:p>
    <w:p w:rsidR="00FA6354" w:rsidRPr="00FA6354" w:rsidRDefault="00FA6354" w:rsidP="00FA6354">
      <w:pPr>
        <w:pStyle w:val="StandardWeb"/>
        <w:spacing w:before="0" w:beforeAutospacing="0" w:after="135" w:afterAutospacing="0"/>
        <w:rPr>
          <w:b/>
          <w:color w:val="414145"/>
          <w:sz w:val="22"/>
          <w:szCs w:val="22"/>
        </w:rPr>
      </w:pPr>
      <w:r w:rsidRPr="00FA6354">
        <w:rPr>
          <w:b/>
          <w:color w:val="414145"/>
          <w:sz w:val="22"/>
          <w:szCs w:val="22"/>
        </w:rPr>
        <w:t>(2) Jedinica lokalne i područne (regionalne) samouprave ima jedinstveni račun proračuna koji se otvara i vodi u kreditnoj instituciji, a na kojem se ostvaruju svi priljevi i izvršavaju svi odljevi proračuna i proračunskih korisnika jedinice lokalne i područne (regionalne) samouprave.</w:t>
      </w:r>
    </w:p>
    <w:p w:rsidR="00FA6354" w:rsidRPr="00FA6354" w:rsidRDefault="00FA6354" w:rsidP="00FA6354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A6354">
        <w:rPr>
          <w:color w:val="414145"/>
          <w:sz w:val="22"/>
          <w:szCs w:val="22"/>
        </w:rPr>
        <w:t>(3) Iznimno od stavaka 1. i 2. ovoga članka, za provedbu specifičnih transakcija proračuna i proračunskih korisnika može se otvoriti račun, uz prethodnu suglasnost ministra financija odnosno načelnika, gradonačelnika, župana.</w:t>
      </w:r>
    </w:p>
    <w:p w:rsidR="00FA6354" w:rsidRPr="00FA6354" w:rsidRDefault="00FA6354" w:rsidP="00FA6354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A6354">
        <w:rPr>
          <w:color w:val="414145"/>
          <w:sz w:val="22"/>
          <w:szCs w:val="22"/>
        </w:rPr>
        <w:t>(4) Zakonom o izvršavanju državnog proračuna odnosno odlukom o izvršavanju proračuna jedinice lokalne i područne (regionalne) samouprave mogu se iznimno za proračunske korisnike propisati izuzeća od stavaka 1. i 2. ovoga članka.</w:t>
      </w:r>
    </w:p>
    <w:p w:rsidR="00D53977" w:rsidRPr="00FA6354" w:rsidRDefault="00D53977" w:rsidP="000126AF">
      <w:pPr>
        <w:jc w:val="center"/>
        <w:rPr>
          <w:sz w:val="22"/>
          <w:szCs w:val="22"/>
        </w:rPr>
      </w:pPr>
    </w:p>
    <w:p w:rsidR="00D53977" w:rsidRPr="00FA6354" w:rsidRDefault="00D53977" w:rsidP="000126AF">
      <w:pPr>
        <w:jc w:val="center"/>
        <w:rPr>
          <w:sz w:val="22"/>
          <w:szCs w:val="22"/>
        </w:rPr>
      </w:pPr>
    </w:p>
    <w:p w:rsidR="002E5649" w:rsidRPr="00CF01CF" w:rsidRDefault="002E5649" w:rsidP="002E5649">
      <w:pPr>
        <w:jc w:val="both"/>
      </w:pPr>
      <w:r w:rsidRPr="00CF01CF">
        <w:t xml:space="preserve">Navedenim zakonskim odredbama utvrđen je obvezujući okvir ustrojavanja jedinstvenog računa odnosno riznice gdje se planiraju i izvršavaju javni prihodi/ primici i rashodi/ izdaci planirani u proračunu </w:t>
      </w:r>
      <w:bookmarkStart w:id="3" w:name="_Hlk209690455"/>
      <w:r w:rsidR="00CF01CF" w:rsidRPr="00CF01CF">
        <w:t>Općine</w:t>
      </w:r>
      <w:bookmarkEnd w:id="3"/>
      <w:r w:rsidRPr="00CF01CF">
        <w:t xml:space="preserve">, a koja obuhvaća i proračunske korisnike. </w:t>
      </w:r>
    </w:p>
    <w:p w:rsidR="00F5173A" w:rsidRPr="00CF01CF" w:rsidRDefault="00F5173A" w:rsidP="002E5649">
      <w:pPr>
        <w:jc w:val="both"/>
      </w:pPr>
    </w:p>
    <w:p w:rsidR="002E5649" w:rsidRPr="00CF01CF" w:rsidRDefault="002E5649" w:rsidP="002E5649">
      <w:pPr>
        <w:jc w:val="both"/>
      </w:pPr>
      <w:r w:rsidRPr="00CF01CF">
        <w:t xml:space="preserve">Pravilnikom o proračunskom računovodstvu i računskom planu (NN 158/2023 i 154/2024 ) koji se primjenjuje od 01.01.2025.), između ostalog, propisano je i slijedeće: </w:t>
      </w:r>
    </w:p>
    <w:p w:rsidR="00696FCF" w:rsidRDefault="00696FCF" w:rsidP="00696FCF">
      <w:pPr>
        <w:jc w:val="center"/>
        <w:rPr>
          <w:i/>
          <w:iCs/>
          <w:sz w:val="22"/>
          <w:szCs w:val="22"/>
        </w:rPr>
      </w:pPr>
    </w:p>
    <w:p w:rsidR="002E5649" w:rsidRPr="00696FCF" w:rsidRDefault="002E5649" w:rsidP="00696FCF">
      <w:pPr>
        <w:jc w:val="center"/>
        <w:rPr>
          <w:i/>
          <w:iCs/>
          <w:sz w:val="22"/>
          <w:szCs w:val="22"/>
        </w:rPr>
      </w:pPr>
      <w:r w:rsidRPr="00696FCF">
        <w:rPr>
          <w:i/>
          <w:iCs/>
          <w:sz w:val="22"/>
          <w:szCs w:val="22"/>
        </w:rPr>
        <w:t>Članak 234.</w:t>
      </w:r>
    </w:p>
    <w:p w:rsidR="002E5649" w:rsidRPr="00696FCF" w:rsidRDefault="002E5649" w:rsidP="002E5649">
      <w:pPr>
        <w:jc w:val="both"/>
        <w:rPr>
          <w:i/>
          <w:iCs/>
          <w:sz w:val="22"/>
          <w:szCs w:val="22"/>
        </w:rPr>
      </w:pPr>
      <w:r w:rsidRPr="00696FCF">
        <w:rPr>
          <w:i/>
          <w:iCs/>
          <w:sz w:val="22"/>
          <w:szCs w:val="22"/>
        </w:rPr>
        <w:t xml:space="preserve">(1) Proračuni čiji proračunski korisnici u trenutku stupanja na snagu ovoga Pravilnika posluju preko jedinstvenog računa proračuna, obvezni su uspostaviti Objedinjenu glavnu knjigu proračuna do 1. siječnja 2025. </w:t>
      </w:r>
    </w:p>
    <w:p w:rsidR="002E5649" w:rsidRPr="00696FCF" w:rsidRDefault="002E5649" w:rsidP="002E5649">
      <w:pPr>
        <w:jc w:val="both"/>
        <w:rPr>
          <w:i/>
          <w:iCs/>
          <w:sz w:val="22"/>
          <w:szCs w:val="22"/>
        </w:rPr>
      </w:pPr>
      <w:r w:rsidRPr="00696FCF">
        <w:rPr>
          <w:i/>
          <w:iCs/>
          <w:sz w:val="22"/>
          <w:szCs w:val="22"/>
        </w:rPr>
        <w:t xml:space="preserve">(2) Proračuni čiji proračunski korisnici u trenutku stupanja na snagu ovoga Pravilnika ne posluju preko </w:t>
      </w:r>
    </w:p>
    <w:p w:rsidR="002E5649" w:rsidRPr="00696FCF" w:rsidRDefault="002E5649" w:rsidP="002E5649">
      <w:pPr>
        <w:jc w:val="both"/>
        <w:rPr>
          <w:i/>
          <w:iCs/>
          <w:sz w:val="22"/>
          <w:szCs w:val="22"/>
        </w:rPr>
      </w:pPr>
      <w:r w:rsidRPr="00696FCF">
        <w:rPr>
          <w:i/>
          <w:iCs/>
          <w:sz w:val="22"/>
          <w:szCs w:val="22"/>
        </w:rPr>
        <w:t xml:space="preserve">jedinstvenog računa proračuna već preko vlastitih računa u poslovnim bankama, obvezni su uspostaviti </w:t>
      </w:r>
    </w:p>
    <w:p w:rsidR="002E5649" w:rsidRPr="00696FCF" w:rsidRDefault="002E5649" w:rsidP="002E5649">
      <w:pPr>
        <w:jc w:val="both"/>
        <w:rPr>
          <w:i/>
          <w:iCs/>
          <w:sz w:val="22"/>
          <w:szCs w:val="22"/>
        </w:rPr>
      </w:pPr>
      <w:r w:rsidRPr="00696FCF">
        <w:rPr>
          <w:i/>
          <w:iCs/>
          <w:sz w:val="22"/>
          <w:szCs w:val="22"/>
        </w:rPr>
        <w:t xml:space="preserve">Objedinjenu glavnu knjigu proračuna do 1. siječnja 2026. </w:t>
      </w:r>
    </w:p>
    <w:p w:rsidR="002E5649" w:rsidRDefault="002E5649" w:rsidP="002E5649">
      <w:pPr>
        <w:jc w:val="both"/>
        <w:rPr>
          <w:sz w:val="22"/>
          <w:szCs w:val="22"/>
        </w:rPr>
      </w:pPr>
    </w:p>
    <w:p w:rsidR="00332468" w:rsidRPr="00CF01CF" w:rsidRDefault="00E16D67" w:rsidP="002E5649">
      <w:pPr>
        <w:jc w:val="both"/>
      </w:pPr>
      <w:r w:rsidRPr="00CF01CF">
        <w:t xml:space="preserve">S obzirom da </w:t>
      </w:r>
      <w:r w:rsidR="00CF01CF" w:rsidRPr="00CF01CF">
        <w:t>Općina</w:t>
      </w:r>
      <w:r w:rsidRPr="00CF01CF">
        <w:t xml:space="preserve"> u trenutku stupanja na snagu Pravilnika ne posluje preko jedinstvenog računa</w:t>
      </w:r>
      <w:r w:rsidR="00465ABD">
        <w:t>,</w:t>
      </w:r>
      <w:r w:rsidRPr="00CF01CF">
        <w:t xml:space="preserve"> u obvezi je uspostaviti Objedinjenu glavnu knjigu proračuna do 1. siječnja 2026. godine. Obaveza uvođenja Objedinjene glavne knjige ne isključuje Glavnu knjigu proračuna i proračunskog korisnika već u svom sastavu sadrži Glavnu knjigu odnosno proračun i proračunski korisnik vodi evidencije svih transakcija na imovini, obvezama, vlastitim izvorima, rashodima i izdacima, primicima i prihodima po modificiranom načelu nastanka događaja. Financijski izvještaji proračuna se sastavljaju na temelju podataka iz Glavne knjige proračuna</w:t>
      </w:r>
      <w:r w:rsidR="00465ABD">
        <w:t>,</w:t>
      </w:r>
      <w:r w:rsidRPr="00CF01CF">
        <w:t xml:space="preserve"> dok se financijski izvještaji proračunskih korisnika sastavljaju na temelju podataka iz Glavne knjige proračunskog korisnika koja se vodi kod proračunskog korisnika.</w:t>
      </w:r>
    </w:p>
    <w:p w:rsidR="00F94219" w:rsidRPr="00CF01CF" w:rsidRDefault="00F94219" w:rsidP="002E5649">
      <w:pPr>
        <w:jc w:val="both"/>
      </w:pPr>
    </w:p>
    <w:sectPr w:rsidR="00F94219" w:rsidRPr="00CF01CF" w:rsidSect="00850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86" w:rsidRDefault="00B62A86" w:rsidP="00C7660E">
      <w:r>
        <w:separator/>
      </w:r>
    </w:p>
  </w:endnote>
  <w:endnote w:type="continuationSeparator" w:id="0">
    <w:p w:rsidR="00B62A86" w:rsidRDefault="00B62A86" w:rsidP="00C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86" w:rsidRDefault="00B62A86" w:rsidP="00C7660E">
      <w:r>
        <w:separator/>
      </w:r>
    </w:p>
  </w:footnote>
  <w:footnote w:type="continuationSeparator" w:id="0">
    <w:p w:rsidR="00B62A86" w:rsidRDefault="00B62A86" w:rsidP="00C7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D20F1"/>
    <w:multiLevelType w:val="hybridMultilevel"/>
    <w:tmpl w:val="0A54A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75BD4"/>
    <w:multiLevelType w:val="hybridMultilevel"/>
    <w:tmpl w:val="40A6AC86"/>
    <w:lvl w:ilvl="0" w:tplc="B6CE81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708EC"/>
    <w:multiLevelType w:val="hybridMultilevel"/>
    <w:tmpl w:val="CBAAD3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7D"/>
    <w:rsid w:val="000126AF"/>
    <w:rsid w:val="00025351"/>
    <w:rsid w:val="00036824"/>
    <w:rsid w:val="000415A0"/>
    <w:rsid w:val="00054855"/>
    <w:rsid w:val="0007422F"/>
    <w:rsid w:val="000762A6"/>
    <w:rsid w:val="00082BA5"/>
    <w:rsid w:val="0009545E"/>
    <w:rsid w:val="000B6BF0"/>
    <w:rsid w:val="000C68F5"/>
    <w:rsid w:val="000E7729"/>
    <w:rsid w:val="001145AD"/>
    <w:rsid w:val="00116269"/>
    <w:rsid w:val="001167E1"/>
    <w:rsid w:val="0012613D"/>
    <w:rsid w:val="001625D1"/>
    <w:rsid w:val="00192F2B"/>
    <w:rsid w:val="001B069E"/>
    <w:rsid w:val="001C263F"/>
    <w:rsid w:val="001E1B4F"/>
    <w:rsid w:val="00202F6E"/>
    <w:rsid w:val="00215E4D"/>
    <w:rsid w:val="00225E29"/>
    <w:rsid w:val="00233EBB"/>
    <w:rsid w:val="0024047A"/>
    <w:rsid w:val="00244A0D"/>
    <w:rsid w:val="0025768C"/>
    <w:rsid w:val="00266B22"/>
    <w:rsid w:val="0029072F"/>
    <w:rsid w:val="00291E11"/>
    <w:rsid w:val="002C30DC"/>
    <w:rsid w:val="002E5649"/>
    <w:rsid w:val="002F11BC"/>
    <w:rsid w:val="00306BAF"/>
    <w:rsid w:val="00316C12"/>
    <w:rsid w:val="00322523"/>
    <w:rsid w:val="00332171"/>
    <w:rsid w:val="00332468"/>
    <w:rsid w:val="00364F8A"/>
    <w:rsid w:val="00373E4B"/>
    <w:rsid w:val="0038035F"/>
    <w:rsid w:val="003F6E6C"/>
    <w:rsid w:val="0041627D"/>
    <w:rsid w:val="004368B4"/>
    <w:rsid w:val="0045319C"/>
    <w:rsid w:val="00465ABD"/>
    <w:rsid w:val="00501DAA"/>
    <w:rsid w:val="00510D66"/>
    <w:rsid w:val="00511A57"/>
    <w:rsid w:val="00512A9F"/>
    <w:rsid w:val="00526477"/>
    <w:rsid w:val="00551E4A"/>
    <w:rsid w:val="00573D4E"/>
    <w:rsid w:val="00577E8B"/>
    <w:rsid w:val="0059218C"/>
    <w:rsid w:val="005A48DA"/>
    <w:rsid w:val="005B54E2"/>
    <w:rsid w:val="005C0189"/>
    <w:rsid w:val="005D1E4C"/>
    <w:rsid w:val="005D33E0"/>
    <w:rsid w:val="00602116"/>
    <w:rsid w:val="00615C27"/>
    <w:rsid w:val="00636D82"/>
    <w:rsid w:val="00657B70"/>
    <w:rsid w:val="00661CAF"/>
    <w:rsid w:val="00696FCF"/>
    <w:rsid w:val="006C0D50"/>
    <w:rsid w:val="006D6350"/>
    <w:rsid w:val="007061FD"/>
    <w:rsid w:val="00707207"/>
    <w:rsid w:val="00727A58"/>
    <w:rsid w:val="00730906"/>
    <w:rsid w:val="00743393"/>
    <w:rsid w:val="00763BAA"/>
    <w:rsid w:val="00767954"/>
    <w:rsid w:val="0077116E"/>
    <w:rsid w:val="007B3C65"/>
    <w:rsid w:val="007C1C99"/>
    <w:rsid w:val="00850D82"/>
    <w:rsid w:val="008E773D"/>
    <w:rsid w:val="008F2939"/>
    <w:rsid w:val="0090090D"/>
    <w:rsid w:val="00907A50"/>
    <w:rsid w:val="0092563D"/>
    <w:rsid w:val="009309EA"/>
    <w:rsid w:val="00933088"/>
    <w:rsid w:val="009450D6"/>
    <w:rsid w:val="00947266"/>
    <w:rsid w:val="009741C9"/>
    <w:rsid w:val="009C68B5"/>
    <w:rsid w:val="00A007AC"/>
    <w:rsid w:val="00A03590"/>
    <w:rsid w:val="00A047B6"/>
    <w:rsid w:val="00A07026"/>
    <w:rsid w:val="00A20914"/>
    <w:rsid w:val="00A35C30"/>
    <w:rsid w:val="00A635AF"/>
    <w:rsid w:val="00A65379"/>
    <w:rsid w:val="00AD26C9"/>
    <w:rsid w:val="00AE74E1"/>
    <w:rsid w:val="00B009A0"/>
    <w:rsid w:val="00B3201E"/>
    <w:rsid w:val="00B62A86"/>
    <w:rsid w:val="00BB5E5E"/>
    <w:rsid w:val="00BF7534"/>
    <w:rsid w:val="00BF7FFD"/>
    <w:rsid w:val="00C323E0"/>
    <w:rsid w:val="00C345D5"/>
    <w:rsid w:val="00C41CD3"/>
    <w:rsid w:val="00C572C2"/>
    <w:rsid w:val="00C6007D"/>
    <w:rsid w:val="00C7660E"/>
    <w:rsid w:val="00CB2C9A"/>
    <w:rsid w:val="00CB2F87"/>
    <w:rsid w:val="00CF01CF"/>
    <w:rsid w:val="00CF1A0A"/>
    <w:rsid w:val="00D16D37"/>
    <w:rsid w:val="00D2323F"/>
    <w:rsid w:val="00D2397E"/>
    <w:rsid w:val="00D40597"/>
    <w:rsid w:val="00D53977"/>
    <w:rsid w:val="00D62494"/>
    <w:rsid w:val="00DA17A8"/>
    <w:rsid w:val="00DD04B2"/>
    <w:rsid w:val="00DE05B4"/>
    <w:rsid w:val="00E003FB"/>
    <w:rsid w:val="00E05D0D"/>
    <w:rsid w:val="00E16D67"/>
    <w:rsid w:val="00E24BE7"/>
    <w:rsid w:val="00E71FE0"/>
    <w:rsid w:val="00E72D68"/>
    <w:rsid w:val="00E9655A"/>
    <w:rsid w:val="00EC40DE"/>
    <w:rsid w:val="00EE2733"/>
    <w:rsid w:val="00EE4DE6"/>
    <w:rsid w:val="00F062FE"/>
    <w:rsid w:val="00F13E3A"/>
    <w:rsid w:val="00F419D6"/>
    <w:rsid w:val="00F5173A"/>
    <w:rsid w:val="00F75BB8"/>
    <w:rsid w:val="00F9329A"/>
    <w:rsid w:val="00F94219"/>
    <w:rsid w:val="00FA6354"/>
    <w:rsid w:val="00FB1091"/>
    <w:rsid w:val="00FC3D62"/>
    <w:rsid w:val="00FD4B6E"/>
    <w:rsid w:val="00FF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7EC65-C97E-4D14-8245-E6DAFA74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8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4162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16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162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162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162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162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162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162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162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162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16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162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1627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1627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1627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1627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1627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1627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162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16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162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162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6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1627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1627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1627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162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1627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1627D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C766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660E"/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C766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7660E"/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FA6354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1FE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1FE0"/>
    <w:rPr>
      <w:rFonts w:ascii="Tahoma" w:eastAsia="Times New Roman" w:hAnsi="Tahoma" w:cs="Tahoma"/>
      <w:kern w:val="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3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08D76-C0DA-42AF-AA13-9C5E1ABF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Imre</dc:creator>
  <cp:lastModifiedBy>Melanija</cp:lastModifiedBy>
  <cp:revision>3</cp:revision>
  <cp:lastPrinted>2025-10-24T11:25:00Z</cp:lastPrinted>
  <dcterms:created xsi:type="dcterms:W3CDTF">2025-10-24T11:26:00Z</dcterms:created>
  <dcterms:modified xsi:type="dcterms:W3CDTF">2025-10-24T11:26:00Z</dcterms:modified>
</cp:coreProperties>
</file>